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4CD8" w14:textId="77777777" w:rsidR="00D255C5" w:rsidRDefault="00000000">
      <w:pPr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附件一:</w:t>
      </w:r>
    </w:p>
    <w:p w14:paraId="7597C1DF" w14:textId="77777777" w:rsidR="00D255C5" w:rsidRDefault="00000000">
      <w:pPr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32"/>
          <w:szCs w:val="32"/>
        </w:rPr>
        <w:t>“2023年度全国港口培训计划”一览表</w:t>
      </w:r>
    </w:p>
    <w:tbl>
      <w:tblPr>
        <w:tblW w:w="51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473"/>
        <w:gridCol w:w="3093"/>
        <w:gridCol w:w="6567"/>
        <w:gridCol w:w="898"/>
        <w:gridCol w:w="1559"/>
      </w:tblGrid>
      <w:tr w:rsidR="00D255C5" w14:paraId="0758CDCF" w14:textId="77777777">
        <w:trPr>
          <w:trHeight w:val="64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8C2F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D0CC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743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培训对象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776B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B29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DF6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地点</w:t>
            </w:r>
          </w:p>
        </w:tc>
      </w:tr>
      <w:tr w:rsidR="00D255C5" w14:paraId="1B3ED036" w14:textId="77777777">
        <w:trPr>
          <w:trHeight w:val="157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1FFD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A0A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全国港口多式联运高质量发展培训班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A8A8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港口、码头、铁路、航运、陆港、无水港、公路港、陆港产业（商贸）园区、物流园、规划设计建设单位、高等院校、研究机构等相关负责人员、管理人员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2BDF" w14:textId="4C093034" w:rsidR="00D255C5" w:rsidRDefault="00000000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多式联运相关政策解读与发展趋势分析；通关一体化相关政策与规定解读；多式联运业务流程、运营方式、组织管理和创新发展；深化国际贸易“单一窗口”功能；多式联运“一单制”探索;交通运输服务构建新发展格局的相关工作介绍；多式联运信息交换标准体系建设；公铁联运、海铁联运、铁水联运的发展现状及对策；水运港口与内陆港（无水港）的联动发展；内陆港发展多式联运中存在的问题及解决方法；单证（提单、运单、票据）及规则制度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C0C9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B064" w14:textId="02B8CD54" w:rsidR="00D255C5" w:rsidRDefault="003919C3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汕头/</w:t>
            </w:r>
            <w:r w:rsidR="00000000">
              <w:rPr>
                <w:rFonts w:ascii="仿宋" w:eastAsia="仿宋" w:hAnsi="仿宋" w:cs="仿宋" w:hint="eastAsia"/>
                <w:bCs/>
                <w:sz w:val="28"/>
                <w:szCs w:val="28"/>
              </w:rPr>
              <w:t>潮州</w:t>
            </w:r>
          </w:p>
        </w:tc>
      </w:tr>
      <w:tr w:rsidR="00D255C5" w14:paraId="2CD421CC" w14:textId="77777777">
        <w:trPr>
          <w:trHeight w:val="157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5FF6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50FB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全国港航企业财务管理及税务筹划与处理培训班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D9B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会计、财务、税务等相关人员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2065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最新财税政策汇总解析；财务管理；资金管理及费用管理；全面预算管理；统一核算管理；财务结算中心建设；年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中税会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差异处理及汇算清缴实务案例；内部管理报表分析技能提升；《纳税申报表》调整及企业财务报表格式最新变化、个税难点；年终总账处理等。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418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9ADE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苏州</w:t>
            </w:r>
          </w:p>
        </w:tc>
      </w:tr>
      <w:tr w:rsidR="00D255C5" w14:paraId="771123E5" w14:textId="77777777">
        <w:trPr>
          <w:trHeight w:val="290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F35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4C3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全国“绿色港口”建设与发展培训班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4E1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港口码头、航运企业、工程规划设计单位、科研院所等相关人员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5FD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绿色港口建设经验分享；高质量发展背景下港口先进污染防治技术与管理模式；码头排污许可规范重点内容介绍；码头扬尘污染防控措施及科学化管理；生态环境保护、粉尘治理与监测、港口清洁生产、机械能量回收等相关新技术在港口中的应用；绿色生态型港口体系建设与思考；绿色港口等级评价指南相关实施细则；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危废污染物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接收、转运及处置设施建设方案；风力发电、光伏发电、潮汐发电前沿技术在港口中的应用等。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41D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823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苏州</w:t>
            </w:r>
          </w:p>
        </w:tc>
      </w:tr>
      <w:tr w:rsidR="00D255C5" w14:paraId="4B858AB2" w14:textId="77777777">
        <w:trPr>
          <w:trHeight w:val="306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F655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BAE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全国港口市场营销与货运质量管理培训班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C545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政策研究、市场研究、市场营销、业务管理、客户服务、货运质量管理、库场及仓储管理等相关人员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A07C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市场营销组合策略；互联网市场运营平台建设；港口行业营销理论；物流业在市场营销中的渗透与战略构想；全球经济贸易形势下港口发展的机遇和挑战；港口内贸集装箱高质量发展探讨；市场营销方案；港口市场营销实践；现代化物流管理；港口揽货技巧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航线业务的拓展技巧；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港口码头货损货差有关案例；合同管理与商务保险理赔；港口质量管理及应急处理等。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ACA3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98CB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重庆</w:t>
            </w:r>
          </w:p>
        </w:tc>
      </w:tr>
      <w:tr w:rsidR="00D255C5" w14:paraId="5E5BFA41" w14:textId="77777777">
        <w:trPr>
          <w:trHeight w:val="290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BE88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884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全国港口安全生产与防台防汛培训班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303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港口安全管理与现场作业人员、码头生产管理和调度人员、现场作业指导员、堆场管理人员、气象监测和监控预警的工作人员等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9BC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港口安全生产风险辨识及管控；港口安全应急管理解决方案；港口危险货物安全法律法规体系、标准规范等相关政策解读；港口典型事故案例分析；港口事故预防与强化管理；重大事故妥善处理的方式方法；港口重要危险节点安全管控；港口危险货物安全监督检查规范和实务；防台防汛应急预案流程；大型港机防风技术解决方案及案例分享；现场指挥调度的工作流程；防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台措施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的案例分享；码头堆场的防台作业和保护措施等。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D80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6EC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重庆</w:t>
            </w:r>
          </w:p>
        </w:tc>
      </w:tr>
      <w:tr w:rsidR="00D255C5" w14:paraId="2FCD8E66" w14:textId="7777777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6675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DFC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全国港口企业班组长管理能力提升培训班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7154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港口企业班组长、一线部门主管、生产业务管理和班组建设管理人员等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62C2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现代班组管理技巧实务；班组长管理的核心要素；组织中常见的沟通障碍；主管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职场精神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与职业品质；一线主管综合能力提升；班组的沟通艺术、职业心理及班组文化建设；建立创建型、学习型、智能型班组等。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BA5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5月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5123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扬州</w:t>
            </w:r>
          </w:p>
        </w:tc>
      </w:tr>
      <w:tr w:rsidR="00D255C5" w14:paraId="0D3B2BCD" w14:textId="7777777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9B12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EE55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全国港口人力资源与企业文化运行管理培训班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932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港口企业负责人力资源、企业文化、定额、考核、劳动合同、职工教育培训等人员</w:t>
            </w:r>
          </w:p>
          <w:p w14:paraId="320A0F5F" w14:textId="77777777" w:rsidR="00D255C5" w:rsidRDefault="00D255C5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8FCB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企业人才管理及优化；企业的凝聚力和综合竞争力；人事档案管理；薪酬、绩效、招聘、培训、管理等人力资源业务知识；人才素质培养与提升；工时转换绩效考核；劳动合同法；个税筹划；码头定额计件考核；人事管理沟通与关系协调；岗位价值与岗位定级办法；定岗、定编、定权责书、定级、定任职资格、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定预算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的全套体系；如何构建支撑企业战略的评价体系和企业文化等。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83E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5月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6922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扬州</w:t>
            </w:r>
          </w:p>
        </w:tc>
      </w:tr>
      <w:tr w:rsidR="00D255C5" w14:paraId="46998CA5" w14:textId="7777777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00E9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F48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全国港口企业党建工作与党史学习教育培训班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1F52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党务、政工、文化等相关人员</w:t>
            </w:r>
          </w:p>
          <w:p w14:paraId="694E4F2C" w14:textId="77777777" w:rsidR="00D255C5" w:rsidRDefault="00D255C5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48A3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共产党百年奋斗的光辉历程；学习贯彻习近平总书记关于党的建设的重要论述；新时代干部理想信念与担当作为；党建为生产赋能，以高质量党建推动企业高质量发展；基层党建工作创新与党支部标准化、规范化建设；“缅怀先烈、不忘初心” 红色主题实践教育活动等。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8682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5月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F547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南昌</w:t>
            </w:r>
          </w:p>
        </w:tc>
      </w:tr>
      <w:tr w:rsidR="00D255C5" w14:paraId="1D81579D" w14:textId="7777777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6658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ED9F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全国港口生产计划调度与码头事故处理培训班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AB0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港口生产计划、调度、业务、装卸作业指导员，安全监察、现场业务相关人员等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30F5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调度管理在生产过程中的作用与影响；生产调度控制要点与技巧；智能调度方法；港口码头事故处理实务；港口生产计划与调度；调度问题优化方案；港口装卸调度模式选择；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船港货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商务管理；散货集疏运的智能调度与应用等。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87E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79F5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西宁</w:t>
            </w:r>
          </w:p>
        </w:tc>
      </w:tr>
      <w:tr w:rsidR="00D255C5" w14:paraId="44412F60" w14:textId="7777777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F0F0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E4ED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全国港口商务费收与商务处理培训班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4BB7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港口企业的费收、统计、核算、商务合同和理赔相关人员</w:t>
            </w:r>
          </w:p>
          <w:p w14:paraId="41456972" w14:textId="77777777" w:rsidR="00D255C5" w:rsidRDefault="00D255C5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1C93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费收最新调整政策介绍与解读；港口价格改革应对方案研究；各港口费收实务介绍；港口作业费用标准的制定和管控；优化收费公示制度和收费服务模式；未来港口费收政策走向；港口码头货损货差风险防范处理；商务管理案例分析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E4EE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5AC5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西宁</w:t>
            </w:r>
          </w:p>
        </w:tc>
      </w:tr>
      <w:tr w:rsidR="00D255C5" w14:paraId="2C23E42E" w14:textId="77777777">
        <w:trPr>
          <w:trHeight w:val="146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60BA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3CC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全国港口设备管理与维修培训班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23BC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设备维修和管理人员，备件维护工程师、机械和电气维修工程师，设备管理工程师，设备使用和维修技师或技术骨干等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035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如何依靠新技术实现港口设备状态的智能监测与自动诊断；港作机械设备维护技巧；港口设备状态检测、故障诊断、维护管理；特种设备安全管理、故障诊断及维修；港口设备液压技术的应用与故障分析；港口机械设备在润滑管理中的不足及应对措施；电气设备的维护与管理；港口设备中变频器应用问题探析；运用数字化、智能化、可视化等技术维护和维修的案例分享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CDD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7月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792F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烟台</w:t>
            </w:r>
          </w:p>
        </w:tc>
      </w:tr>
      <w:tr w:rsidR="00D255C5" w14:paraId="2351C0B5" w14:textId="77777777">
        <w:trPr>
          <w:trHeight w:val="28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85F5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2A0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全国港航物流企业堆场与仓储管理及装卸技术培训班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391A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堆场管理和仓储管理人员，生产调度、装卸作业指导员，装卸工艺员及相关人员等</w:t>
            </w:r>
          </w:p>
          <w:p w14:paraId="449F5E08" w14:textId="77777777" w:rsidR="00D255C5" w:rsidRDefault="00D255C5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2C9A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堆场与仓储管理系统解决方案；自动化堆场综合管理系统设计；智能仓储建立及运作管理的方法与技术；转运堆场管理系统应用；港航企业现场装卸实务案例分析；堆场与仓储安全管理规定；船、港、货交接责任和事故处理办法；货损货差事故处理与保险理赔；大单元装卸搬运技术及应用；智能化仓储及物流管理；现代物流装卸技术优化策略及案例分析；重大件装卸工艺研究；装卸工艺标准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5AA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7月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CCE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烟台</w:t>
            </w:r>
          </w:p>
        </w:tc>
      </w:tr>
      <w:tr w:rsidR="00D255C5" w14:paraId="5924B974" w14:textId="77777777">
        <w:trPr>
          <w:trHeight w:val="27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9960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580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全国港口企业法律与商务人员培训班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A03B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港口企业有关法律事务、业务（商务）、财务、保险理赔事务等相关人员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462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港口企业相关的法律法规；港口经营人合法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维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权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相应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措施与对策；港口经营中的法律风险案例及防范体系；港口合同法律纠纷案件实务案例；港口货物纠纷的处置案例；合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管理体系建设；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码头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货物交接、事故处理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商务法律事务；港口经营人货物留置权问题解析及案例分享；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港口事故保险理赔实务；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运输法规与相关货运公约；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船舶触碰码头事故处理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3B46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8月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4B3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延安</w:t>
            </w:r>
          </w:p>
        </w:tc>
      </w:tr>
      <w:tr w:rsidR="00D255C5" w14:paraId="54C98B4E" w14:textId="77777777">
        <w:trPr>
          <w:trHeight w:val="146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7A58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6EB1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全国港口企业行政管理工作实务培训班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55B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办公室、董事会、总经理工作部、经理办、综合管理部、行政管理部、党群工作部、党委办、行政、宣传、通讯、机要、档案等相关工作人员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91B7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新《档案法》解读与档案管理工作重点解析；行政服务创新与行政统筹管理；督查督办工作实务；疫情防控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常态化下的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办公室管理工作；公文写作实务与公文规范化处理流程（决议、决定、议案、意见、报告、请示、批复、通报、通告、命令、通知、函、纪要等）；公文传阅、归档的要求和程序；现代化办公的新技术应用；行政（秘书）必备的日常事务管理技能；高效的会议组织与管理；政务信息写作；准确把握新时代下保密工作新要求；文件管理办法与保密文件管理；公文处理中的常见错误分析及案例解读；讲话稿的要求、写作技巧和范例；调研报告的类型、写作要求和技巧；涉密文件、会议、办事的工作规范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1BA1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8月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CF6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延安</w:t>
            </w:r>
          </w:p>
        </w:tc>
      </w:tr>
      <w:tr w:rsidR="00D255C5" w14:paraId="16CF7149" w14:textId="77777777">
        <w:trPr>
          <w:trHeight w:val="146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32E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DF5E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全国“智慧港口”建设与管理培训班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E2F3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港口码头信息化部门、IT主管、自动化装备操作人员、技术人员、理货人员等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142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“智慧港口”有关政策解读；港口数字化发展与大数据应用的创新探索与实践研究；码头可视化智能管控系统的应用；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散杂货码头自动化融合与技术创新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；港口大型港机无人化后时代的设备健康管理；智能化码头装卸转运系统案例分享；人工智能、5G、无人驾驶、北斗系统、区块链、边缘计算、时空大数据与时空云平台在港口中的应用；智慧港口建设的布局规划、网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络安全、系统运维等实践探索；港口全数字化协同生产系统创新；建设海铁联运自动化集装箱码头的实践探索；传统码头智能化升级改造的实践等。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99EB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9月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726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银川</w:t>
            </w:r>
          </w:p>
        </w:tc>
      </w:tr>
      <w:tr w:rsidR="00D255C5" w14:paraId="3FC2EA98" w14:textId="77777777">
        <w:trPr>
          <w:trHeight w:val="326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C753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1C5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全国港口企业内部控制与风险管理培训班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B81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董事会、监事会成员，企业中高层管理人员，风险管理部、内控部、内审部、财务部、采购部等需要实施风险管理及内部控制的各层级管理者，主管和其他管理人员，以及其他职能部门的经理和管理人员等</w:t>
            </w:r>
          </w:p>
          <w:p w14:paraId="01974502" w14:textId="77777777" w:rsidR="00D255C5" w:rsidRDefault="00D255C5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BD8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内控管理和内部审计管理规定解读；企业风险防范；新时期内部审计能力与创新；现代组织治理、内部控制和风险管理；战略导向内部审计质量控制；企业改制重组操作实务与风险防范；内部控制规范体系；港口企业合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实务案例；预算绩效指标与标准体系构建；管理审计、新审计业务讲解（绩效审计、信息化审计、合同审计）；业务循环中的内控实务；内部审计实战技巧；内部审计与反舞弊实务；分享在企业风险管理和内控实践过程中的经验和体会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F733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9月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AAE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银川</w:t>
            </w:r>
          </w:p>
        </w:tc>
      </w:tr>
      <w:tr w:rsidR="00D255C5" w14:paraId="516CB477" w14:textId="77777777">
        <w:trPr>
          <w:trHeight w:val="254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AAB4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7AEE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全国港口企业采购与供应链管理培训班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D780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招标、采购、生产和供应链、合同管理、工程管理、财务、法律事务等相关人员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1794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最新法规政策解读；集中采购存在问题及对策;供应商选择与评估；供应链管理与运作；供应链管理战略与领导能力；采购谈判技巧；采购成本管理；采购合同管理；采购战略及风险控制；《国有企业采购管理规范》简要解读；企业招标采购模式创新与合规制度构建；招标采购关键程序、痛点和热点问题解析与法律风险防范；网上采购平台建设和运营管理；智慧采购平台解决方案；招标采购单位内控制度建设有关问题；评标过程中存在的问题；采购组织形式和采购方式管理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4696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10月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9658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昆明</w:t>
            </w:r>
          </w:p>
        </w:tc>
      </w:tr>
      <w:tr w:rsidR="00D255C5" w14:paraId="416922AD" w14:textId="77777777">
        <w:trPr>
          <w:trHeight w:val="254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14DE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81B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全国港口企业统计工作培训班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BD61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港口企业各处室统计工作人员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2FE4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政策解读与有关工作介绍；统计管理规定；港口生产统计管理制度及工作流程；数据统计与分析；当前统计热点、难点问题分析；RPA+数据收集与整理；统计数据审核细则、经济运行分析方法；经验交流等。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F31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11月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6443" w14:textId="487DDB40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佛山</w:t>
            </w:r>
            <w:r w:rsidR="001D1657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/海口</w:t>
            </w:r>
          </w:p>
        </w:tc>
      </w:tr>
      <w:tr w:rsidR="00D255C5" w14:paraId="0B96CCFD" w14:textId="77777777">
        <w:trPr>
          <w:trHeight w:val="14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37F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860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行业相关国家政策、法律法规、工作条例、指南等内容宣贯、解读、分析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A75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各会员单位和港口行业相关单位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B17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港口经营管理规定、港口收费计费办法、危险货物运输相关规则等。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9139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待定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18D0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待定</w:t>
            </w:r>
          </w:p>
        </w:tc>
      </w:tr>
      <w:tr w:rsidR="00D255C5" w14:paraId="7C11C003" w14:textId="77777777">
        <w:trPr>
          <w:trHeight w:val="934"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CF44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36E0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中港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协法律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与商务专业委员会培训班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FAAD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各会员单位和全国港口法律与商务行业相关单位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DBE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港口法、海商法、反垄断法、反不正当竞争法等。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546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待定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9A57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待定</w:t>
            </w:r>
          </w:p>
        </w:tc>
      </w:tr>
      <w:tr w:rsidR="00D255C5" w14:paraId="27C1ADD4" w14:textId="77777777">
        <w:trPr>
          <w:trHeight w:val="811"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D13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0A7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中港协标准化专业委员会培训班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DCD6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各会员单位和港口行业相关单位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D33C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港口行业团体标准。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884C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待定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435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待定</w:t>
            </w:r>
          </w:p>
        </w:tc>
      </w:tr>
      <w:tr w:rsidR="00D255C5" w14:paraId="7333C4A9" w14:textId="77777777">
        <w:trPr>
          <w:trHeight w:val="682"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56D0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4E44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网络专题培训班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6557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各会员单位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7DE3" w14:textId="77777777" w:rsidR="00D255C5" w:rsidRDefault="00000000">
            <w:pPr>
              <w:spacing w:line="0" w:lineRule="atLeas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港口行业热点问题、港口企业实际需求等。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7203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待定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35E" w14:textId="77777777" w:rsidR="00D255C5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待定</w:t>
            </w:r>
          </w:p>
        </w:tc>
      </w:tr>
    </w:tbl>
    <w:p w14:paraId="240C8D98" w14:textId="77777777" w:rsidR="00D255C5" w:rsidRDefault="00000000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注：具体以开班正式通知为准</w:t>
      </w:r>
    </w:p>
    <w:sectPr w:rsidR="00D255C5">
      <w:footerReference w:type="even" r:id="rId6"/>
      <w:footerReference w:type="default" r:id="rId7"/>
      <w:pgSz w:w="16838" w:h="11906" w:orient="landscape"/>
      <w:pgMar w:top="1019" w:right="1134" w:bottom="1103" w:left="1134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E675" w14:textId="77777777" w:rsidR="009B28F3" w:rsidRDefault="009B28F3">
      <w:r>
        <w:separator/>
      </w:r>
    </w:p>
  </w:endnote>
  <w:endnote w:type="continuationSeparator" w:id="0">
    <w:p w14:paraId="5A0AC8DD" w14:textId="77777777" w:rsidR="009B28F3" w:rsidRDefault="009B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8223" w14:textId="77777777" w:rsidR="00D255C5" w:rsidRDefault="000000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EA254D" w14:textId="77777777" w:rsidR="00D255C5" w:rsidRDefault="00D255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5E69" w14:textId="77777777" w:rsidR="00D255C5" w:rsidRDefault="000000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0A3C8DE8" w14:textId="77777777" w:rsidR="00D255C5" w:rsidRDefault="00D255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DCC2" w14:textId="77777777" w:rsidR="009B28F3" w:rsidRDefault="009B28F3">
      <w:r>
        <w:separator/>
      </w:r>
    </w:p>
  </w:footnote>
  <w:footnote w:type="continuationSeparator" w:id="0">
    <w:p w14:paraId="594B65CC" w14:textId="77777777" w:rsidR="009B28F3" w:rsidRDefault="009B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YyMDlhNjUxNGI3NDkxZjY3MWVkNmY0ZWZkZjViYjEifQ=="/>
  </w:docVars>
  <w:rsids>
    <w:rsidRoot w:val="006B04B5"/>
    <w:rsid w:val="00044142"/>
    <w:rsid w:val="000526E3"/>
    <w:rsid w:val="000C5280"/>
    <w:rsid w:val="001014DF"/>
    <w:rsid w:val="001841A0"/>
    <w:rsid w:val="001A2BA9"/>
    <w:rsid w:val="001D1657"/>
    <w:rsid w:val="00232370"/>
    <w:rsid w:val="00241151"/>
    <w:rsid w:val="00267A4E"/>
    <w:rsid w:val="00270A3B"/>
    <w:rsid w:val="002B109F"/>
    <w:rsid w:val="002C4373"/>
    <w:rsid w:val="002D37E4"/>
    <w:rsid w:val="002F26C5"/>
    <w:rsid w:val="002F4609"/>
    <w:rsid w:val="003501FF"/>
    <w:rsid w:val="00373DF6"/>
    <w:rsid w:val="003908CF"/>
    <w:rsid w:val="003919C3"/>
    <w:rsid w:val="003C7AF2"/>
    <w:rsid w:val="00430F1D"/>
    <w:rsid w:val="00444C60"/>
    <w:rsid w:val="004A25DA"/>
    <w:rsid w:val="004D3744"/>
    <w:rsid w:val="004F358F"/>
    <w:rsid w:val="0050459A"/>
    <w:rsid w:val="00534C4D"/>
    <w:rsid w:val="0055774E"/>
    <w:rsid w:val="005643FB"/>
    <w:rsid w:val="00573C5F"/>
    <w:rsid w:val="00585B69"/>
    <w:rsid w:val="006244D5"/>
    <w:rsid w:val="006725A8"/>
    <w:rsid w:val="006B04B5"/>
    <w:rsid w:val="006E09CF"/>
    <w:rsid w:val="006F103E"/>
    <w:rsid w:val="0072229B"/>
    <w:rsid w:val="0073263C"/>
    <w:rsid w:val="0074026F"/>
    <w:rsid w:val="00793C98"/>
    <w:rsid w:val="007D5905"/>
    <w:rsid w:val="007F37B8"/>
    <w:rsid w:val="00846BAF"/>
    <w:rsid w:val="0088331F"/>
    <w:rsid w:val="0089366F"/>
    <w:rsid w:val="008F5D49"/>
    <w:rsid w:val="009167C6"/>
    <w:rsid w:val="00946ABA"/>
    <w:rsid w:val="00954EC4"/>
    <w:rsid w:val="00980F0F"/>
    <w:rsid w:val="009935DE"/>
    <w:rsid w:val="009941B2"/>
    <w:rsid w:val="009B28F3"/>
    <w:rsid w:val="009D32EC"/>
    <w:rsid w:val="00A02B6B"/>
    <w:rsid w:val="00AE3298"/>
    <w:rsid w:val="00B2139A"/>
    <w:rsid w:val="00B26EFD"/>
    <w:rsid w:val="00B82E0D"/>
    <w:rsid w:val="00BE4BEC"/>
    <w:rsid w:val="00BF6E8C"/>
    <w:rsid w:val="00C220EE"/>
    <w:rsid w:val="00C7366F"/>
    <w:rsid w:val="00CB401F"/>
    <w:rsid w:val="00CB7475"/>
    <w:rsid w:val="00CF004B"/>
    <w:rsid w:val="00D22B2E"/>
    <w:rsid w:val="00D255C5"/>
    <w:rsid w:val="00D341F4"/>
    <w:rsid w:val="00D42448"/>
    <w:rsid w:val="00DE6416"/>
    <w:rsid w:val="00E37583"/>
    <w:rsid w:val="00E65ED7"/>
    <w:rsid w:val="00EA2A08"/>
    <w:rsid w:val="00F22F62"/>
    <w:rsid w:val="00F3602C"/>
    <w:rsid w:val="00F633D1"/>
    <w:rsid w:val="00F65EC2"/>
    <w:rsid w:val="00FA5B6B"/>
    <w:rsid w:val="00FE2B4E"/>
    <w:rsid w:val="00FE4263"/>
    <w:rsid w:val="0114596E"/>
    <w:rsid w:val="01371AE3"/>
    <w:rsid w:val="020F0876"/>
    <w:rsid w:val="031C4E28"/>
    <w:rsid w:val="04271BEE"/>
    <w:rsid w:val="04C85DA7"/>
    <w:rsid w:val="05707715"/>
    <w:rsid w:val="067527E4"/>
    <w:rsid w:val="07042A8C"/>
    <w:rsid w:val="07A02CB8"/>
    <w:rsid w:val="085C62B9"/>
    <w:rsid w:val="0A531EA4"/>
    <w:rsid w:val="0AA35FAC"/>
    <w:rsid w:val="0B106CD8"/>
    <w:rsid w:val="0BE01248"/>
    <w:rsid w:val="0F8D3995"/>
    <w:rsid w:val="11513D10"/>
    <w:rsid w:val="12366B59"/>
    <w:rsid w:val="125324E0"/>
    <w:rsid w:val="139A4ED2"/>
    <w:rsid w:val="14144D21"/>
    <w:rsid w:val="14885FCB"/>
    <w:rsid w:val="148D454F"/>
    <w:rsid w:val="15BD5595"/>
    <w:rsid w:val="17407090"/>
    <w:rsid w:val="17CF5357"/>
    <w:rsid w:val="182F5C00"/>
    <w:rsid w:val="18D465DC"/>
    <w:rsid w:val="196D3F8E"/>
    <w:rsid w:val="199E5352"/>
    <w:rsid w:val="1A2964DA"/>
    <w:rsid w:val="1ABE2F5D"/>
    <w:rsid w:val="1D112410"/>
    <w:rsid w:val="1EE60E0B"/>
    <w:rsid w:val="1EEB6E52"/>
    <w:rsid w:val="1F355863"/>
    <w:rsid w:val="1F773852"/>
    <w:rsid w:val="1F7B223F"/>
    <w:rsid w:val="1FA72342"/>
    <w:rsid w:val="1FAF5B4A"/>
    <w:rsid w:val="1FBB15CB"/>
    <w:rsid w:val="1FD23C3D"/>
    <w:rsid w:val="206375BB"/>
    <w:rsid w:val="21493A50"/>
    <w:rsid w:val="2211740D"/>
    <w:rsid w:val="22B12860"/>
    <w:rsid w:val="238C00D4"/>
    <w:rsid w:val="253F6EE5"/>
    <w:rsid w:val="25401F4D"/>
    <w:rsid w:val="25A14C6A"/>
    <w:rsid w:val="261E1848"/>
    <w:rsid w:val="276A5E9A"/>
    <w:rsid w:val="277043B6"/>
    <w:rsid w:val="287425F8"/>
    <w:rsid w:val="28EB61C1"/>
    <w:rsid w:val="29242B62"/>
    <w:rsid w:val="29F10DEC"/>
    <w:rsid w:val="2A0936E8"/>
    <w:rsid w:val="2AE637A8"/>
    <w:rsid w:val="2BD33644"/>
    <w:rsid w:val="2BE175AF"/>
    <w:rsid w:val="2C0B4D53"/>
    <w:rsid w:val="2D7A632C"/>
    <w:rsid w:val="2D820D51"/>
    <w:rsid w:val="2D841C58"/>
    <w:rsid w:val="2D993877"/>
    <w:rsid w:val="2FE47BCA"/>
    <w:rsid w:val="2FF674A5"/>
    <w:rsid w:val="316E1295"/>
    <w:rsid w:val="33270D2B"/>
    <w:rsid w:val="33BD344A"/>
    <w:rsid w:val="35606D98"/>
    <w:rsid w:val="36701FE3"/>
    <w:rsid w:val="372A6E57"/>
    <w:rsid w:val="376270D6"/>
    <w:rsid w:val="37F36FE8"/>
    <w:rsid w:val="39802970"/>
    <w:rsid w:val="3A2314B3"/>
    <w:rsid w:val="3A5C0EAC"/>
    <w:rsid w:val="3B47211F"/>
    <w:rsid w:val="3B5878C5"/>
    <w:rsid w:val="3B932E27"/>
    <w:rsid w:val="3C714D9E"/>
    <w:rsid w:val="3C9152AB"/>
    <w:rsid w:val="3DC72AE0"/>
    <w:rsid w:val="3DEC4CC0"/>
    <w:rsid w:val="3EB4398D"/>
    <w:rsid w:val="41476C55"/>
    <w:rsid w:val="41AE758B"/>
    <w:rsid w:val="41EE7EA0"/>
    <w:rsid w:val="42470693"/>
    <w:rsid w:val="4294050E"/>
    <w:rsid w:val="42B53C8B"/>
    <w:rsid w:val="42C146C5"/>
    <w:rsid w:val="430A2516"/>
    <w:rsid w:val="43C325EF"/>
    <w:rsid w:val="440E279A"/>
    <w:rsid w:val="442E2428"/>
    <w:rsid w:val="44894F93"/>
    <w:rsid w:val="45695D39"/>
    <w:rsid w:val="462036D5"/>
    <w:rsid w:val="46DB6DCA"/>
    <w:rsid w:val="487C66BC"/>
    <w:rsid w:val="48CA0E84"/>
    <w:rsid w:val="49863D45"/>
    <w:rsid w:val="49891613"/>
    <w:rsid w:val="4A161077"/>
    <w:rsid w:val="4D606086"/>
    <w:rsid w:val="4DF96416"/>
    <w:rsid w:val="4EC90391"/>
    <w:rsid w:val="4ED96B17"/>
    <w:rsid w:val="4FB80089"/>
    <w:rsid w:val="506E6A6C"/>
    <w:rsid w:val="50E434A7"/>
    <w:rsid w:val="510B5209"/>
    <w:rsid w:val="537D2834"/>
    <w:rsid w:val="538C0003"/>
    <w:rsid w:val="53EB2C96"/>
    <w:rsid w:val="54841AB9"/>
    <w:rsid w:val="54F97605"/>
    <w:rsid w:val="55C23CC1"/>
    <w:rsid w:val="55C420E5"/>
    <w:rsid w:val="588D20C8"/>
    <w:rsid w:val="589B2453"/>
    <w:rsid w:val="59941866"/>
    <w:rsid w:val="59E152CA"/>
    <w:rsid w:val="5A585984"/>
    <w:rsid w:val="5AF5460D"/>
    <w:rsid w:val="5C24078D"/>
    <w:rsid w:val="5F2C4A56"/>
    <w:rsid w:val="5F774B94"/>
    <w:rsid w:val="617B24A3"/>
    <w:rsid w:val="636F164E"/>
    <w:rsid w:val="64D3053C"/>
    <w:rsid w:val="64D519BF"/>
    <w:rsid w:val="65B868DF"/>
    <w:rsid w:val="669950D5"/>
    <w:rsid w:val="669F738B"/>
    <w:rsid w:val="6724633F"/>
    <w:rsid w:val="67743DF4"/>
    <w:rsid w:val="698A2A90"/>
    <w:rsid w:val="6A0E2718"/>
    <w:rsid w:val="6A435568"/>
    <w:rsid w:val="6AD701F8"/>
    <w:rsid w:val="6D3976D2"/>
    <w:rsid w:val="6E1F3E81"/>
    <w:rsid w:val="6E5F3D3B"/>
    <w:rsid w:val="6F2D03F1"/>
    <w:rsid w:val="723D184E"/>
    <w:rsid w:val="73BD1719"/>
    <w:rsid w:val="73D05511"/>
    <w:rsid w:val="73D2231F"/>
    <w:rsid w:val="7438571D"/>
    <w:rsid w:val="75B6519E"/>
    <w:rsid w:val="765F731E"/>
    <w:rsid w:val="769B3740"/>
    <w:rsid w:val="76C51234"/>
    <w:rsid w:val="772C162A"/>
    <w:rsid w:val="77D1090F"/>
    <w:rsid w:val="77DD0FB0"/>
    <w:rsid w:val="79052133"/>
    <w:rsid w:val="79D81762"/>
    <w:rsid w:val="7A9C6CCE"/>
    <w:rsid w:val="7B7B56CD"/>
    <w:rsid w:val="7C3B08C1"/>
    <w:rsid w:val="7D0552E1"/>
    <w:rsid w:val="7D8F588B"/>
    <w:rsid w:val="7DC4505D"/>
    <w:rsid w:val="7E5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DD5C8"/>
  <w15:docId w15:val="{92051647-2FB4-41A8-907B-7B14384A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line="15" w:lineRule="atLeast"/>
      <w:jc w:val="left"/>
      <w:outlineLvl w:val="0"/>
    </w:pPr>
    <w:rPr>
      <w:rFonts w:ascii="宋体" w:hAnsi="宋体" w:hint="eastAsia"/>
      <w:kern w:val="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  <w:vanish/>
    </w:rPr>
  </w:style>
  <w:style w:type="character" w:styleId="aa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zlc">
    <w:name w:val="hzlc"/>
    <w:basedOn w:val="a0"/>
    <w:qFormat/>
  </w:style>
  <w:style w:type="character" w:customStyle="1" w:styleId="dxal">
    <w:name w:val="dxal"/>
    <w:basedOn w:val="a0"/>
    <w:qFormat/>
  </w:style>
  <w:style w:type="character" w:customStyle="1" w:styleId="hover25">
    <w:name w:val="hover25"/>
    <w:basedOn w:val="a0"/>
    <w:qFormat/>
    <w:rPr>
      <w:shd w:val="clear" w:color="auto" w:fill="AB0101"/>
    </w:rPr>
  </w:style>
  <w:style w:type="character" w:customStyle="1" w:styleId="jpkc">
    <w:name w:val="jpkc"/>
    <w:basedOn w:val="a0"/>
    <w:qFormat/>
  </w:style>
  <w:style w:type="character" w:customStyle="1" w:styleId="hzly">
    <w:name w:val="hzly"/>
    <w:basedOn w:val="a0"/>
    <w:qFormat/>
  </w:style>
  <w:style w:type="character" w:customStyle="1" w:styleId="lxwm">
    <w:name w:val="lxwm"/>
    <w:basedOn w:val="a0"/>
    <w:qFormat/>
  </w:style>
  <w:style w:type="character" w:customStyle="1" w:styleId="school">
    <w:name w:val="school"/>
    <w:basedOn w:val="a0"/>
    <w:qFormat/>
  </w:style>
  <w:style w:type="character" w:customStyle="1" w:styleId="prices">
    <w:name w:val="price_s"/>
    <w:basedOn w:val="a0"/>
    <w:qFormat/>
  </w:style>
  <w:style w:type="paragraph" w:customStyle="1" w:styleId="Style19">
    <w:name w:val="_Style 1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0">
    <w:name w:val="_Style 20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adge">
    <w:name w:val="badge"/>
    <w:basedOn w:val="a0"/>
    <w:qFormat/>
  </w:style>
  <w:style w:type="character" w:customStyle="1" w:styleId="hover35">
    <w:name w:val="hover35"/>
    <w:basedOn w:val="a0"/>
    <w:qFormat/>
    <w:rPr>
      <w:color w:val="FFFFFF"/>
      <w:shd w:val="clear" w:color="auto" w:fill="FFA800"/>
    </w:rPr>
  </w:style>
  <w:style w:type="character" w:customStyle="1" w:styleId="hover36">
    <w:name w:val="hover36"/>
    <w:basedOn w:val="a0"/>
    <w:qFormat/>
    <w:rPr>
      <w:color w:val="999999"/>
      <w:bdr w:val="single" w:sz="6" w:space="0" w:color="CCCCCC"/>
      <w:shd w:val="clear" w:color="auto" w:fill="FFFFFF"/>
    </w:rPr>
  </w:style>
  <w:style w:type="character" w:customStyle="1" w:styleId="hover37">
    <w:name w:val="hover37"/>
    <w:basedOn w:val="a0"/>
    <w:qFormat/>
    <w:rPr>
      <w:color w:val="999999"/>
      <w:bdr w:val="single" w:sz="6" w:space="0" w:color="CCCCCC"/>
      <w:shd w:val="clear" w:color="auto" w:fill="FFFFFF"/>
    </w:rPr>
  </w:style>
  <w:style w:type="character" w:customStyle="1" w:styleId="last-child1">
    <w:name w:val="last-child1"/>
    <w:basedOn w:val="a0"/>
    <w:qFormat/>
  </w:style>
  <w:style w:type="character" w:customStyle="1" w:styleId="last-child2">
    <w:name w:val="last-child2"/>
    <w:basedOn w:val="a0"/>
    <w:qFormat/>
  </w:style>
  <w:style w:type="character" w:customStyle="1" w:styleId="last-child">
    <w:name w:val="last-child"/>
    <w:basedOn w:val="a0"/>
    <w:qFormat/>
  </w:style>
  <w:style w:type="character" w:customStyle="1" w:styleId="hover34">
    <w:name w:val="hover34"/>
    <w:basedOn w:val="a0"/>
    <w:qFormat/>
    <w:rPr>
      <w:color w:val="999999"/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676</Words>
  <Characters>3857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 z</dc:creator>
  <cp:lastModifiedBy>zgpx63244790@163.com</cp:lastModifiedBy>
  <cp:revision>71</cp:revision>
  <cp:lastPrinted>2021-09-02T07:50:00Z</cp:lastPrinted>
  <dcterms:created xsi:type="dcterms:W3CDTF">2019-10-10T05:55:00Z</dcterms:created>
  <dcterms:modified xsi:type="dcterms:W3CDTF">2022-10-08T01:41:00Z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958075508F004B5DBBD36FE770A5A942</vt:lpwstr>
  </property>
</Properties>
</file>